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F1ED7" w14:textId="77777777" w:rsidR="00E93C28" w:rsidRDefault="00294A63">
      <w:pPr>
        <w:pStyle w:val="Title"/>
      </w:pPr>
      <w:bookmarkStart w:id="0" w:name="_GoBack"/>
      <w:bookmarkEnd w:id="0"/>
      <w:r>
        <w:t>ehr solutions</w:t>
      </w:r>
      <w:r w:rsidR="00E1585A">
        <w:br/>
        <w:t>Project Scope</w:t>
      </w:r>
    </w:p>
    <w:sdt>
      <w:sdtPr>
        <w:id w:val="216403978"/>
        <w:placeholder>
          <w:docPart w:val="3EEF6A754D2D413CB1E7CF9836A773F8"/>
        </w:placeholder>
        <w:date w:fullDate="2016-04-13T00:00:00Z">
          <w:dateFormat w:val="MMMM d, yyyy"/>
          <w:lid w:val="en-US"/>
          <w:storeMappedDataAs w:val="dateTime"/>
          <w:calendar w:val="gregorian"/>
        </w:date>
      </w:sdtPr>
      <w:sdtEndPr/>
      <w:sdtContent>
        <w:p w14:paraId="325F08E1" w14:textId="77777777" w:rsidR="00E93C28" w:rsidRDefault="0024456E">
          <w:pPr>
            <w:pStyle w:val="Subtitle"/>
          </w:pPr>
          <w:r>
            <w:t>April 13, 2016</w:t>
          </w:r>
        </w:p>
      </w:sdtContent>
    </w:sdt>
    <w:p w14:paraId="02E47370" w14:textId="77777777" w:rsidR="00E93C28" w:rsidRDefault="00E1585A">
      <w:pPr>
        <w:pStyle w:val="Heading1"/>
      </w:pPr>
      <w:r>
        <w:t>Overview</w:t>
      </w:r>
    </w:p>
    <w:p w14:paraId="112D3F0C" w14:textId="77777777" w:rsidR="00E93C28" w:rsidRDefault="00E1585A">
      <w:pPr>
        <w:pStyle w:val="Heading2"/>
      </w:pPr>
      <w:r>
        <w:t>Project Background and Description</w:t>
      </w:r>
    </w:p>
    <w:p w14:paraId="0FD85B0C" w14:textId="77777777" w:rsidR="00E93C28" w:rsidRDefault="00294A63">
      <w:r>
        <w:t xml:space="preserve">This project came about as a result of needing to update the outdated health records system currently in place. The team involved will be the office team lead, registration specialist, front office manager, physician champion, IT specialists and IT technicians. The purpose of the project is to implement </w:t>
      </w:r>
      <w:r w:rsidR="00671D69">
        <w:t>the P</w:t>
      </w:r>
      <w:r w:rsidR="0024456E">
        <w:t>ractice Fusion</w:t>
      </w:r>
      <w:r>
        <w:t xml:space="preserve"> EHR system to improve </w:t>
      </w:r>
      <w:r w:rsidR="00671D69">
        <w:t xml:space="preserve">the </w:t>
      </w:r>
      <w:r>
        <w:t>qual</w:t>
      </w:r>
      <w:r w:rsidR="00671D69">
        <w:t>ity of care for our patients as well as</w:t>
      </w:r>
      <w:r>
        <w:t xml:space="preserve"> meet</w:t>
      </w:r>
      <w:r w:rsidR="00671D69">
        <w:t>ing</w:t>
      </w:r>
      <w:r>
        <w:t xml:space="preserve"> meaningful use criteria. </w:t>
      </w:r>
    </w:p>
    <w:p w14:paraId="7A29A1DD" w14:textId="77777777" w:rsidR="00E93C28" w:rsidRDefault="00E1585A">
      <w:pPr>
        <w:pStyle w:val="Heading2"/>
      </w:pPr>
      <w:r>
        <w:t>Project Scope</w:t>
      </w:r>
    </w:p>
    <w:p w14:paraId="2A339891" w14:textId="77777777" w:rsidR="00E93C28" w:rsidRDefault="00671D69">
      <w:r>
        <w:t xml:space="preserve">The scope of the project will be </w:t>
      </w:r>
      <w:r w:rsidR="0024456E">
        <w:t>to fully implement the Practice Fusion</w:t>
      </w:r>
      <w:r>
        <w:t xml:space="preserve"> EHR within the 5 month allotted timeframe</w:t>
      </w:r>
      <w:r w:rsidR="00E1585A">
        <w:t xml:space="preserve">. Medical billing, patient portal, online payment system, text appointment reminders, speech recognition software and e-Prescribing capabilities will be implemented. There will be no change in the application servers, this will remain Windows-based. The staff is already trained and familiar with the current server. No staff workstations will be added. </w:t>
      </w:r>
    </w:p>
    <w:p w14:paraId="1870C121" w14:textId="77777777" w:rsidR="00E93C28" w:rsidRDefault="00E1585A">
      <w:pPr>
        <w:pStyle w:val="Heading2"/>
      </w:pPr>
      <w:r>
        <w:t>High-Level Requirements</w:t>
      </w:r>
    </w:p>
    <w:tbl>
      <w:tblPr>
        <w:tblStyle w:val="TipTable"/>
        <w:tblW w:w="5000" w:type="pct"/>
        <w:tblLook w:val="04A0" w:firstRow="1" w:lastRow="0" w:firstColumn="1" w:lastColumn="0" w:noHBand="0" w:noVBand="1"/>
      </w:tblPr>
      <w:tblGrid>
        <w:gridCol w:w="577"/>
        <w:gridCol w:w="8783"/>
      </w:tblGrid>
      <w:tr w:rsidR="00E93C28" w14:paraId="1846522C" w14:textId="77777777">
        <w:tc>
          <w:tcPr>
            <w:cnfStyle w:val="001000000000" w:firstRow="0" w:lastRow="0" w:firstColumn="1" w:lastColumn="0" w:oddVBand="0" w:evenVBand="0" w:oddHBand="0" w:evenHBand="0" w:firstRowFirstColumn="0" w:firstRowLastColumn="0" w:lastRowFirstColumn="0" w:lastRowLastColumn="0"/>
            <w:tcW w:w="308" w:type="pct"/>
          </w:tcPr>
          <w:p w14:paraId="38ADC949" w14:textId="77777777" w:rsidR="00E93C28" w:rsidRDefault="00E93C28"/>
        </w:tc>
        <w:tc>
          <w:tcPr>
            <w:tcW w:w="4692" w:type="pct"/>
          </w:tcPr>
          <w:p w14:paraId="7E0FB521" w14:textId="77777777" w:rsidR="00E1585A" w:rsidRDefault="00E1585A" w:rsidP="00E1585A">
            <w:pPr>
              <w:pStyle w:val="NoSpacing"/>
              <w:cnfStyle w:val="000000000000" w:firstRow="0" w:lastRow="0" w:firstColumn="0" w:lastColumn="0" w:oddVBand="0" w:evenVBand="0" w:oddHBand="0" w:evenHBand="0" w:firstRowFirstColumn="0" w:firstRowLastColumn="0" w:lastRowFirstColumn="0" w:lastRowLastColumn="0"/>
            </w:pPr>
          </w:p>
          <w:p w14:paraId="3BA4BB5C" w14:textId="77777777" w:rsidR="00E1585A" w:rsidRDefault="00E1585A" w:rsidP="00E1585A">
            <w:pPr>
              <w:cnfStyle w:val="000000000000" w:firstRow="0" w:lastRow="0" w:firstColumn="0" w:lastColumn="0" w:oddVBand="0" w:evenVBand="0" w:oddHBand="0" w:evenHBand="0" w:firstRowFirstColumn="0" w:firstRowLastColumn="0" w:lastRowFirstColumn="0" w:lastRowLastColumn="0"/>
            </w:pPr>
            <w:r>
              <w:t>The new system must include the following:</w:t>
            </w:r>
          </w:p>
          <w:p w14:paraId="39B48260" w14:textId="77777777" w:rsidR="00E1585A" w:rsidRDefault="00E1585A" w:rsidP="00E1585A">
            <w:pPr>
              <w:pStyle w:val="ListBullet"/>
              <w:cnfStyle w:val="000000000000" w:firstRow="0" w:lastRow="0" w:firstColumn="0" w:lastColumn="0" w:oddVBand="0" w:evenVBand="0" w:oddHBand="0" w:evenHBand="0" w:firstRowFirstColumn="0" w:firstRowLastColumn="0" w:lastRowFirstColumn="0" w:lastRowLastColumn="0"/>
            </w:pPr>
            <w:r>
              <w:t>Ability to allow both internal and external users to access the patient portal</w:t>
            </w:r>
          </w:p>
          <w:p w14:paraId="5CFA816D" w14:textId="77777777" w:rsidR="00E1585A" w:rsidRDefault="00E1585A" w:rsidP="00E1585A">
            <w:pPr>
              <w:pStyle w:val="ListBullet"/>
              <w:cnfStyle w:val="000000000000" w:firstRow="0" w:lastRow="0" w:firstColumn="0" w:lastColumn="0" w:oddVBand="0" w:evenVBand="0" w:oddHBand="0" w:evenHBand="0" w:firstRowFirstColumn="0" w:firstRowLastColumn="0" w:lastRowFirstColumn="0" w:lastRowLastColumn="0"/>
            </w:pPr>
            <w:r>
              <w:t xml:space="preserve">Ability to interface with existing data warehouse </w:t>
            </w:r>
          </w:p>
          <w:p w14:paraId="114429A9" w14:textId="77777777" w:rsidR="00E1585A" w:rsidRDefault="00E1585A" w:rsidP="00E1585A">
            <w:pPr>
              <w:pStyle w:val="ListBullet"/>
              <w:cnfStyle w:val="000000000000" w:firstRow="0" w:lastRow="0" w:firstColumn="0" w:lastColumn="0" w:oddVBand="0" w:evenVBand="0" w:oddHBand="0" w:evenHBand="0" w:firstRowFirstColumn="0" w:firstRowLastColumn="0" w:lastRowFirstColumn="0" w:lastRowLastColumn="0"/>
            </w:pPr>
            <w:r>
              <w:t>Ability to incorporate automated routing based on HIPAA regulations</w:t>
            </w:r>
          </w:p>
          <w:p w14:paraId="7EFF03EB" w14:textId="77777777" w:rsidR="00E93C28" w:rsidRDefault="00E93C28">
            <w:pPr>
              <w:pStyle w:val="TipText"/>
              <w:cnfStyle w:val="000000000000" w:firstRow="0" w:lastRow="0" w:firstColumn="0" w:lastColumn="0" w:oddVBand="0" w:evenVBand="0" w:oddHBand="0" w:evenHBand="0" w:firstRowFirstColumn="0" w:firstRowLastColumn="0" w:lastRowFirstColumn="0" w:lastRowLastColumn="0"/>
            </w:pPr>
          </w:p>
        </w:tc>
      </w:tr>
    </w:tbl>
    <w:p w14:paraId="5CCB28F1" w14:textId="77777777" w:rsidR="00E93C28" w:rsidRDefault="00E1585A">
      <w:pPr>
        <w:pStyle w:val="Heading2"/>
      </w:pPr>
      <w:r>
        <w:t>Deliverables</w:t>
      </w:r>
    </w:p>
    <w:sdt>
      <w:sdtPr>
        <w:id w:val="1455060225"/>
        <w:placeholder>
          <w:docPart w:val="67668D139D3D4CC9BAC43704A551A546"/>
        </w:placeholder>
        <w15:appearance w15:val="hidden"/>
      </w:sdtPr>
      <w:sdtEndPr/>
      <w:sdtContent>
        <w:p w14:paraId="78EE7FE9" w14:textId="77777777" w:rsidR="00E1585A" w:rsidRDefault="00E1585A" w:rsidP="00E1585A">
          <w:r>
            <w:t xml:space="preserve">The stakeholders include the staff and patients. Initially, in the early stage of this project, productivity is expected to slow down as users learn and get used to the new system. Eventually we expect the EHR to speed up processes and lead to improved qualitative care. </w:t>
          </w:r>
        </w:p>
        <w:p w14:paraId="70AE1018" w14:textId="77777777" w:rsidR="00E93C28" w:rsidRDefault="00BD22DF"/>
      </w:sdtContent>
    </w:sdt>
    <w:p w14:paraId="60AC4BB3" w14:textId="77777777" w:rsidR="00E93C28" w:rsidRDefault="00E1585A">
      <w:pPr>
        <w:pStyle w:val="Heading2"/>
      </w:pPr>
      <w:r>
        <w:t>Affected Parties</w:t>
      </w:r>
    </w:p>
    <w:p w14:paraId="4CE0E9EB" w14:textId="77777777" w:rsidR="00E93C28" w:rsidRDefault="00E1585A">
      <w:r>
        <w:t xml:space="preserve">Other affected parties will include other providers, payers and government agencies. They will be affected by this project mainly positively. The upgraded medical billing and voice recognition software will allow for more accurate billing and dictation. </w:t>
      </w:r>
    </w:p>
    <w:p w14:paraId="6B7AB8AE" w14:textId="77777777" w:rsidR="00E93C28" w:rsidRDefault="00E1585A">
      <w:pPr>
        <w:pStyle w:val="Heading2"/>
      </w:pPr>
      <w:r>
        <w:t>Affected Business Processes or Systems</w:t>
      </w:r>
    </w:p>
    <w:p w14:paraId="5E0BE305" w14:textId="77777777" w:rsidR="00E93C28" w:rsidRDefault="0024456E">
      <w:r>
        <w:t xml:space="preserve">No additional staff workstations will be added during the implementation. </w:t>
      </w:r>
    </w:p>
    <w:p w14:paraId="091121BE" w14:textId="77777777" w:rsidR="00E93C28" w:rsidRDefault="00E1585A">
      <w:pPr>
        <w:pStyle w:val="Heading2"/>
      </w:pPr>
      <w:r>
        <w:lastRenderedPageBreak/>
        <w:t>Specific Exclusions from Scope</w:t>
      </w:r>
    </w:p>
    <w:p w14:paraId="71483137" w14:textId="77777777" w:rsidR="00E93C28" w:rsidRDefault="00E1585A">
      <w:r>
        <w:t xml:space="preserve">There will be </w:t>
      </w:r>
      <w:r w:rsidR="004B087F">
        <w:t xml:space="preserve">an </w:t>
      </w:r>
      <w:r>
        <w:t>incremental implementation of our plan. There are two phases: I</w:t>
      </w:r>
      <w:r w:rsidR="004B087F">
        <w:t>nitial I</w:t>
      </w:r>
      <w:r>
        <w:t xml:space="preserve">mplementation and Follow up. </w:t>
      </w:r>
      <w:r w:rsidR="00703C53">
        <w:t xml:space="preserve"> Application servers and workstations will not be included in the upgrade. </w:t>
      </w:r>
    </w:p>
    <w:p w14:paraId="7994F7D9" w14:textId="77777777" w:rsidR="00E93C28" w:rsidRDefault="00E1585A">
      <w:pPr>
        <w:pStyle w:val="Heading2"/>
      </w:pPr>
      <w:r>
        <w:t>Implementation Plan</w:t>
      </w:r>
    </w:p>
    <w:p w14:paraId="62F53D2F" w14:textId="77777777" w:rsidR="00E93C28" w:rsidRDefault="0049717E">
      <w:r>
        <w:t xml:space="preserve">Practice Fusion software will meet the practice’s EHR needs. It offers required HL-7 as well as meeting meaningful use criteria with scanning and importing paper records capabilities. Both immediate and long term benefits will be gained from the project. Once the feasibility assessments are completed, Phase I will be launched. </w:t>
      </w:r>
    </w:p>
    <w:p w14:paraId="75392FEE" w14:textId="77777777" w:rsidR="00E93C28" w:rsidRDefault="00E1585A">
      <w:pPr>
        <w:pStyle w:val="Heading2"/>
      </w:pPr>
      <w:r>
        <w:t>High-Level Timeline/Schedule</w:t>
      </w:r>
    </w:p>
    <w:p w14:paraId="2DF0A0F8" w14:textId="77777777" w:rsidR="00E93C28" w:rsidRDefault="00E1585A">
      <w:r>
        <w:t xml:space="preserve">The 5 month timeframe for Phase I and II:  Phase I will be months 1-2. In this phase, team members will be designated as the Project Manager and Physician Champion. Goals for the “go live” date will be created, a budget implemented and personnel training. Phase II will be for the last 3 months of the project and includes software configuration, ongoing training, going live/ post-live reviews and follow up interviews. </w:t>
      </w:r>
    </w:p>
    <w:p w14:paraId="035C05F7" w14:textId="77777777" w:rsidR="00E93C28" w:rsidRDefault="00E1585A">
      <w:pPr>
        <w:pStyle w:val="Heading1"/>
      </w:pPr>
      <w:r>
        <w:t>Approval and Authority to Proceed</w:t>
      </w:r>
    </w:p>
    <w:p w14:paraId="7C5D8D39" w14:textId="77777777" w:rsidR="00E93C28" w:rsidRDefault="00E1585A">
      <w:r>
        <w:t>We approve the project as described above, and authorize the team to proceed.</w:t>
      </w:r>
    </w:p>
    <w:tbl>
      <w:tblPr>
        <w:tblStyle w:val="ProjectScopeTable"/>
        <w:tblW w:w="5000" w:type="pct"/>
        <w:tblLook w:val="04A0" w:firstRow="1" w:lastRow="0" w:firstColumn="1" w:lastColumn="0" w:noHBand="0" w:noVBand="1"/>
        <w:tblDescription w:val="Stakeholders Table"/>
      </w:tblPr>
      <w:tblGrid>
        <w:gridCol w:w="3596"/>
        <w:gridCol w:w="3596"/>
        <w:gridCol w:w="2158"/>
      </w:tblGrid>
      <w:tr w:rsidR="00E93C28" w14:paraId="0DFC9C96" w14:textId="77777777" w:rsidTr="00E93C28">
        <w:trPr>
          <w:cnfStyle w:val="100000000000" w:firstRow="1" w:lastRow="0" w:firstColumn="0" w:lastColumn="0" w:oddVBand="0" w:evenVBand="0" w:oddHBand="0" w:evenHBand="0" w:firstRowFirstColumn="0" w:firstRowLastColumn="0" w:lastRowFirstColumn="0" w:lastRowLastColumn="0"/>
        </w:trPr>
        <w:tc>
          <w:tcPr>
            <w:tcW w:w="1923" w:type="pct"/>
          </w:tcPr>
          <w:p w14:paraId="2BFFC243" w14:textId="77777777" w:rsidR="00E93C28" w:rsidRDefault="00E1585A">
            <w:r>
              <w:t>Name</w:t>
            </w:r>
          </w:p>
        </w:tc>
        <w:tc>
          <w:tcPr>
            <w:tcW w:w="1923" w:type="pct"/>
          </w:tcPr>
          <w:p w14:paraId="0DCC563D" w14:textId="77777777" w:rsidR="00E93C28" w:rsidRDefault="00E1585A">
            <w:r>
              <w:t>Title</w:t>
            </w:r>
          </w:p>
        </w:tc>
        <w:tc>
          <w:tcPr>
            <w:tcW w:w="1155" w:type="pct"/>
          </w:tcPr>
          <w:p w14:paraId="73152A17" w14:textId="77777777" w:rsidR="00E93C28" w:rsidRDefault="00E1585A">
            <w:r>
              <w:t>Date</w:t>
            </w:r>
          </w:p>
        </w:tc>
      </w:tr>
      <w:tr w:rsidR="00E93C28" w14:paraId="33E85A92" w14:textId="77777777" w:rsidTr="00E93C28">
        <w:tc>
          <w:tcPr>
            <w:tcW w:w="1923" w:type="pct"/>
          </w:tcPr>
          <w:p w14:paraId="2F0FCD15" w14:textId="77777777" w:rsidR="00E93C28" w:rsidRDefault="00703C53">
            <w:r>
              <w:t>Corey Martin</w:t>
            </w:r>
          </w:p>
        </w:tc>
        <w:tc>
          <w:tcPr>
            <w:tcW w:w="1923" w:type="pct"/>
          </w:tcPr>
          <w:p w14:paraId="0C3B6703" w14:textId="77777777" w:rsidR="00E93C28" w:rsidRDefault="00703C53">
            <w:r>
              <w:t>Team Lead/ Author</w:t>
            </w:r>
          </w:p>
        </w:tc>
        <w:tc>
          <w:tcPr>
            <w:tcW w:w="1155" w:type="pct"/>
          </w:tcPr>
          <w:p w14:paraId="5DEBA366" w14:textId="77777777" w:rsidR="00E93C28" w:rsidRDefault="00E93C28"/>
        </w:tc>
      </w:tr>
      <w:tr w:rsidR="00E93C28" w14:paraId="5FFE27B7" w14:textId="77777777" w:rsidTr="00E93C28">
        <w:tc>
          <w:tcPr>
            <w:tcW w:w="1923" w:type="pct"/>
          </w:tcPr>
          <w:p w14:paraId="73E756B2" w14:textId="77777777" w:rsidR="00E93C28" w:rsidRDefault="00703C53">
            <w:r>
              <w:t>Dionne McCutcheon</w:t>
            </w:r>
          </w:p>
        </w:tc>
        <w:tc>
          <w:tcPr>
            <w:tcW w:w="1923" w:type="pct"/>
          </w:tcPr>
          <w:p w14:paraId="0CF5EBB2" w14:textId="77777777" w:rsidR="00E93C28" w:rsidRDefault="00703C53">
            <w:r>
              <w:t>Research Analyst/Systems Engineer</w:t>
            </w:r>
          </w:p>
        </w:tc>
        <w:tc>
          <w:tcPr>
            <w:tcW w:w="1155" w:type="pct"/>
          </w:tcPr>
          <w:p w14:paraId="515FB70C" w14:textId="77777777" w:rsidR="00E93C28" w:rsidRDefault="00E93C28"/>
        </w:tc>
      </w:tr>
      <w:tr w:rsidR="00E93C28" w14:paraId="06B21F71" w14:textId="77777777" w:rsidTr="00E93C28">
        <w:tc>
          <w:tcPr>
            <w:tcW w:w="1923" w:type="pct"/>
          </w:tcPr>
          <w:p w14:paraId="344687F3" w14:textId="77777777" w:rsidR="00E93C28" w:rsidRDefault="00703C53">
            <w:r>
              <w:t>Kristen Niedermeyer</w:t>
            </w:r>
          </w:p>
        </w:tc>
        <w:tc>
          <w:tcPr>
            <w:tcW w:w="1923" w:type="pct"/>
          </w:tcPr>
          <w:p w14:paraId="10DA4168" w14:textId="77777777" w:rsidR="00E93C28" w:rsidRDefault="00703C53">
            <w:r>
              <w:t>Processor/ Author</w:t>
            </w:r>
          </w:p>
        </w:tc>
        <w:tc>
          <w:tcPr>
            <w:tcW w:w="1155" w:type="pct"/>
          </w:tcPr>
          <w:p w14:paraId="200BFB3D" w14:textId="77777777" w:rsidR="00E93C28" w:rsidRDefault="00E93C28"/>
        </w:tc>
      </w:tr>
      <w:tr w:rsidR="00703C53" w14:paraId="382DC5E9" w14:textId="77777777" w:rsidTr="00E93C28">
        <w:tc>
          <w:tcPr>
            <w:tcW w:w="1923" w:type="pct"/>
          </w:tcPr>
          <w:p w14:paraId="7A6CE214" w14:textId="77777777" w:rsidR="00703C53" w:rsidRDefault="00703C53">
            <w:r>
              <w:t xml:space="preserve">Felicia Ortega </w:t>
            </w:r>
          </w:p>
        </w:tc>
        <w:tc>
          <w:tcPr>
            <w:tcW w:w="1923" w:type="pct"/>
          </w:tcPr>
          <w:p w14:paraId="3E2A03AA" w14:textId="77777777" w:rsidR="00703C53" w:rsidRDefault="00703C53">
            <w:r>
              <w:t>Research Analyst/Systems Engineer</w:t>
            </w:r>
          </w:p>
        </w:tc>
        <w:tc>
          <w:tcPr>
            <w:tcW w:w="1155" w:type="pct"/>
          </w:tcPr>
          <w:p w14:paraId="6CDB67E6" w14:textId="77777777" w:rsidR="00703C53" w:rsidRDefault="00703C53"/>
        </w:tc>
      </w:tr>
      <w:tr w:rsidR="00703C53" w14:paraId="6BFB387F" w14:textId="77777777" w:rsidTr="00E93C28">
        <w:tc>
          <w:tcPr>
            <w:tcW w:w="1923" w:type="pct"/>
          </w:tcPr>
          <w:p w14:paraId="4F0E5017" w14:textId="77777777" w:rsidR="00703C53" w:rsidRDefault="00703C53">
            <w:r>
              <w:t>Gretchen Phillips</w:t>
            </w:r>
          </w:p>
        </w:tc>
        <w:tc>
          <w:tcPr>
            <w:tcW w:w="1923" w:type="pct"/>
          </w:tcPr>
          <w:p w14:paraId="73235107" w14:textId="77777777" w:rsidR="00703C53" w:rsidRDefault="00703C53">
            <w:r>
              <w:t>Research Analyst/Systems Engineer</w:t>
            </w:r>
          </w:p>
        </w:tc>
        <w:tc>
          <w:tcPr>
            <w:tcW w:w="1155" w:type="pct"/>
          </w:tcPr>
          <w:p w14:paraId="2CE86F1B" w14:textId="77777777" w:rsidR="00703C53" w:rsidRDefault="00703C53"/>
        </w:tc>
      </w:tr>
    </w:tbl>
    <w:p w14:paraId="1FB34A3D" w14:textId="77777777" w:rsidR="00E93C28" w:rsidRDefault="00E93C28"/>
    <w:tbl>
      <w:tblPr>
        <w:tblW w:w="5000" w:type="pct"/>
        <w:tblCellMar>
          <w:left w:w="0" w:type="dxa"/>
          <w:right w:w="0" w:type="dxa"/>
        </w:tblCellMar>
        <w:tblLook w:val="04A0" w:firstRow="1" w:lastRow="0" w:firstColumn="1" w:lastColumn="0" w:noHBand="0" w:noVBand="1"/>
        <w:tblDescription w:val="Signature Table"/>
      </w:tblPr>
      <w:tblGrid>
        <w:gridCol w:w="1197"/>
        <w:gridCol w:w="1944"/>
        <w:gridCol w:w="175"/>
        <w:gridCol w:w="1078"/>
        <w:gridCol w:w="575"/>
        <w:gridCol w:w="1198"/>
        <w:gridCol w:w="1943"/>
        <w:gridCol w:w="174"/>
        <w:gridCol w:w="1076"/>
      </w:tblGrid>
      <w:tr w:rsidR="00E93C28" w14:paraId="5A24D2B5" w14:textId="77777777">
        <w:trPr>
          <w:trHeight w:val="1080"/>
        </w:trPr>
        <w:tc>
          <w:tcPr>
            <w:tcW w:w="639" w:type="pct"/>
            <w:tcBorders>
              <w:bottom w:val="single" w:sz="8" w:space="0" w:color="404040" w:themeColor="text1" w:themeTint="BF"/>
            </w:tcBorders>
            <w:vAlign w:val="bottom"/>
          </w:tcPr>
          <w:p w14:paraId="3C33C16E" w14:textId="77777777" w:rsidR="00E93C28" w:rsidRDefault="00E93C28">
            <w:pPr>
              <w:pStyle w:val="NoSpacing"/>
            </w:pPr>
          </w:p>
        </w:tc>
        <w:tc>
          <w:tcPr>
            <w:tcW w:w="1038" w:type="pct"/>
            <w:tcBorders>
              <w:bottom w:val="single" w:sz="8" w:space="0" w:color="404040" w:themeColor="text1" w:themeTint="BF"/>
            </w:tcBorders>
            <w:vAlign w:val="bottom"/>
          </w:tcPr>
          <w:p w14:paraId="28906670" w14:textId="77777777" w:rsidR="00E93C28" w:rsidRDefault="00E93C28">
            <w:pPr>
              <w:pStyle w:val="NoSpacing"/>
            </w:pPr>
          </w:p>
        </w:tc>
        <w:tc>
          <w:tcPr>
            <w:tcW w:w="93" w:type="pct"/>
            <w:vAlign w:val="bottom"/>
          </w:tcPr>
          <w:p w14:paraId="46B6A97C" w14:textId="77777777" w:rsidR="00E93C28" w:rsidRDefault="00E93C28">
            <w:pPr>
              <w:pStyle w:val="NoSpacing"/>
            </w:pPr>
          </w:p>
        </w:tc>
        <w:tc>
          <w:tcPr>
            <w:tcW w:w="576" w:type="pct"/>
            <w:tcBorders>
              <w:bottom w:val="single" w:sz="8" w:space="0" w:color="404040" w:themeColor="text1" w:themeTint="BF"/>
            </w:tcBorders>
            <w:vAlign w:val="bottom"/>
          </w:tcPr>
          <w:p w14:paraId="6890C8DF" w14:textId="77777777" w:rsidR="00E93C28" w:rsidRDefault="00E93C28">
            <w:pPr>
              <w:pStyle w:val="NoSpacing"/>
            </w:pPr>
          </w:p>
        </w:tc>
        <w:tc>
          <w:tcPr>
            <w:tcW w:w="307" w:type="pct"/>
            <w:vAlign w:val="bottom"/>
          </w:tcPr>
          <w:p w14:paraId="1576F027" w14:textId="77777777" w:rsidR="00E93C28" w:rsidRDefault="00E93C28">
            <w:pPr>
              <w:pStyle w:val="NoSpacing"/>
            </w:pPr>
          </w:p>
        </w:tc>
        <w:tc>
          <w:tcPr>
            <w:tcW w:w="640" w:type="pct"/>
            <w:tcBorders>
              <w:bottom w:val="single" w:sz="8" w:space="0" w:color="404040" w:themeColor="text1" w:themeTint="BF"/>
            </w:tcBorders>
            <w:vAlign w:val="bottom"/>
          </w:tcPr>
          <w:p w14:paraId="0EE7B32E" w14:textId="77777777" w:rsidR="00E93C28" w:rsidRDefault="00E93C28">
            <w:pPr>
              <w:pStyle w:val="NoSpacing"/>
            </w:pPr>
          </w:p>
        </w:tc>
        <w:tc>
          <w:tcPr>
            <w:tcW w:w="1038" w:type="pct"/>
            <w:tcBorders>
              <w:bottom w:val="single" w:sz="8" w:space="0" w:color="404040" w:themeColor="text1" w:themeTint="BF"/>
            </w:tcBorders>
            <w:vAlign w:val="bottom"/>
          </w:tcPr>
          <w:p w14:paraId="69D1A93A" w14:textId="77777777" w:rsidR="00E93C28" w:rsidRDefault="00E93C28">
            <w:pPr>
              <w:pStyle w:val="NoSpacing"/>
            </w:pPr>
          </w:p>
        </w:tc>
        <w:tc>
          <w:tcPr>
            <w:tcW w:w="93" w:type="pct"/>
            <w:vAlign w:val="bottom"/>
          </w:tcPr>
          <w:p w14:paraId="2B55F4C8" w14:textId="77777777" w:rsidR="00E93C28" w:rsidRDefault="00E93C28">
            <w:pPr>
              <w:pStyle w:val="NoSpacing"/>
            </w:pPr>
          </w:p>
        </w:tc>
        <w:tc>
          <w:tcPr>
            <w:tcW w:w="575" w:type="pct"/>
            <w:tcBorders>
              <w:bottom w:val="single" w:sz="8" w:space="0" w:color="404040" w:themeColor="text1" w:themeTint="BF"/>
            </w:tcBorders>
            <w:vAlign w:val="bottom"/>
          </w:tcPr>
          <w:p w14:paraId="1B9C66EA" w14:textId="77777777" w:rsidR="00E93C28" w:rsidRDefault="00E93C28">
            <w:pPr>
              <w:pStyle w:val="NoSpacing"/>
            </w:pPr>
          </w:p>
        </w:tc>
      </w:tr>
      <w:tr w:rsidR="00E93C28" w14:paraId="5EEA8DEF" w14:textId="77777777">
        <w:tc>
          <w:tcPr>
            <w:tcW w:w="639" w:type="pct"/>
            <w:tcBorders>
              <w:top w:val="single" w:sz="8" w:space="0" w:color="404040" w:themeColor="text1" w:themeTint="BF"/>
            </w:tcBorders>
          </w:tcPr>
          <w:p w14:paraId="51B45054" w14:textId="77777777" w:rsidR="00E93C28" w:rsidRDefault="00E1585A">
            <w:r>
              <w:t>Approved By</w:t>
            </w:r>
          </w:p>
        </w:tc>
        <w:tc>
          <w:tcPr>
            <w:tcW w:w="1038" w:type="pct"/>
            <w:tcBorders>
              <w:top w:val="single" w:sz="8" w:space="0" w:color="404040" w:themeColor="text1" w:themeTint="BF"/>
            </w:tcBorders>
          </w:tcPr>
          <w:p w14:paraId="0D7A99E9" w14:textId="77777777" w:rsidR="00E93C28" w:rsidRDefault="00E93C28"/>
        </w:tc>
        <w:tc>
          <w:tcPr>
            <w:tcW w:w="93" w:type="pct"/>
          </w:tcPr>
          <w:p w14:paraId="336F28A2" w14:textId="77777777" w:rsidR="00E93C28" w:rsidRDefault="00E93C28"/>
        </w:tc>
        <w:tc>
          <w:tcPr>
            <w:tcW w:w="576" w:type="pct"/>
            <w:tcBorders>
              <w:top w:val="single" w:sz="8" w:space="0" w:color="404040" w:themeColor="text1" w:themeTint="BF"/>
            </w:tcBorders>
          </w:tcPr>
          <w:p w14:paraId="4A76900A" w14:textId="77777777" w:rsidR="00E93C28" w:rsidRDefault="00E1585A">
            <w:r>
              <w:t>Date</w:t>
            </w:r>
          </w:p>
        </w:tc>
        <w:tc>
          <w:tcPr>
            <w:tcW w:w="307" w:type="pct"/>
          </w:tcPr>
          <w:p w14:paraId="4180AA85" w14:textId="77777777" w:rsidR="00E93C28" w:rsidRDefault="00E93C28"/>
        </w:tc>
        <w:tc>
          <w:tcPr>
            <w:tcW w:w="640" w:type="pct"/>
            <w:tcBorders>
              <w:top w:val="single" w:sz="8" w:space="0" w:color="404040" w:themeColor="text1" w:themeTint="BF"/>
            </w:tcBorders>
          </w:tcPr>
          <w:p w14:paraId="001A96D3" w14:textId="77777777" w:rsidR="00E93C28" w:rsidRDefault="00E1585A">
            <w:r>
              <w:t>Approved By</w:t>
            </w:r>
          </w:p>
        </w:tc>
        <w:tc>
          <w:tcPr>
            <w:tcW w:w="1038" w:type="pct"/>
            <w:tcBorders>
              <w:top w:val="single" w:sz="8" w:space="0" w:color="404040" w:themeColor="text1" w:themeTint="BF"/>
            </w:tcBorders>
          </w:tcPr>
          <w:p w14:paraId="1718BC5A" w14:textId="77777777" w:rsidR="00E93C28" w:rsidRDefault="00E93C28"/>
        </w:tc>
        <w:tc>
          <w:tcPr>
            <w:tcW w:w="93" w:type="pct"/>
          </w:tcPr>
          <w:p w14:paraId="2AFE75CE" w14:textId="77777777" w:rsidR="00E93C28" w:rsidRDefault="00E93C28"/>
        </w:tc>
        <w:tc>
          <w:tcPr>
            <w:tcW w:w="575" w:type="pct"/>
            <w:tcBorders>
              <w:top w:val="single" w:sz="8" w:space="0" w:color="404040" w:themeColor="text1" w:themeTint="BF"/>
            </w:tcBorders>
          </w:tcPr>
          <w:p w14:paraId="7EFA2F03" w14:textId="77777777" w:rsidR="00E93C28" w:rsidRDefault="00E1585A">
            <w:r>
              <w:t>Date</w:t>
            </w:r>
          </w:p>
        </w:tc>
      </w:tr>
    </w:tbl>
    <w:p w14:paraId="6753EFCD" w14:textId="77777777" w:rsidR="00E93C28" w:rsidRDefault="00E93C28"/>
    <w:sectPr w:rsidR="00E93C28">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E83B" w14:textId="77777777" w:rsidR="00294A63" w:rsidRDefault="00294A63">
      <w:pPr>
        <w:spacing w:after="0" w:line="240" w:lineRule="auto"/>
      </w:pPr>
      <w:r>
        <w:separator/>
      </w:r>
    </w:p>
  </w:endnote>
  <w:endnote w:type="continuationSeparator" w:id="0">
    <w:p w14:paraId="45FEBDE5" w14:textId="77777777" w:rsidR="00294A63" w:rsidRDefault="0029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36D7B" w14:textId="77777777" w:rsidR="00294A63" w:rsidRDefault="00294A63">
      <w:pPr>
        <w:spacing w:after="0" w:line="240" w:lineRule="auto"/>
      </w:pPr>
      <w:r>
        <w:separator/>
      </w:r>
    </w:p>
  </w:footnote>
  <w:footnote w:type="continuationSeparator" w:id="0">
    <w:p w14:paraId="18163EC5" w14:textId="77777777" w:rsidR="00294A63" w:rsidRDefault="00294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D3B4" w14:textId="77777777" w:rsidR="00E93C28" w:rsidRDefault="00E1585A">
    <w:pPr>
      <w:pStyle w:val="Header"/>
    </w:pPr>
    <w:r>
      <w:rPr>
        <w:noProof/>
        <w:lang w:eastAsia="en-US"/>
      </w:rPr>
      <mc:AlternateContent>
        <mc:Choice Requires="wps">
          <w:drawing>
            <wp:anchor distT="0" distB="0" distL="114300" distR="114300" simplePos="0" relativeHeight="251659264" behindDoc="0" locked="0" layoutInCell="1" allowOverlap="1" wp14:anchorId="0CBF4780" wp14:editId="2126A676">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CAFBE" w14:textId="77777777" w:rsidR="00E93C28" w:rsidRDefault="00E1585A">
                          <w:pPr>
                            <w:pStyle w:val="Footer"/>
                          </w:pPr>
                          <w:r>
                            <w:fldChar w:fldCharType="begin"/>
                          </w:r>
                          <w:r>
                            <w:instrText xml:space="preserve"> PAGE   \* MERGEFORMAT </w:instrText>
                          </w:r>
                          <w:r>
                            <w:fldChar w:fldCharType="separate"/>
                          </w:r>
                          <w:r w:rsidR="00BD22DF">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BF4780"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62CCAFBE" w14:textId="77777777" w:rsidR="00E93C28" w:rsidRDefault="00E1585A">
                    <w:pPr>
                      <w:pStyle w:val="Footer"/>
                    </w:pPr>
                    <w:r>
                      <w:fldChar w:fldCharType="begin"/>
                    </w:r>
                    <w:r>
                      <w:instrText xml:space="preserve"> PAGE   \* MERGEFORMAT </w:instrText>
                    </w:r>
                    <w:r>
                      <w:fldChar w:fldCharType="separate"/>
                    </w:r>
                    <w:r w:rsidR="00BD22DF">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63"/>
    <w:rsid w:val="0024456E"/>
    <w:rsid w:val="00294A63"/>
    <w:rsid w:val="0049717E"/>
    <w:rsid w:val="004B087F"/>
    <w:rsid w:val="00671D69"/>
    <w:rsid w:val="00703C53"/>
    <w:rsid w:val="00BD22DF"/>
    <w:rsid w:val="00E1585A"/>
    <w:rsid w:val="00E9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CF396"/>
  <w15:chartTrackingRefBased/>
  <w15:docId w15:val="{CE2F05EB-9D52-4776-BB06-19C56E6F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ed_000\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EF6A754D2D413CB1E7CF9836A773F8"/>
        <w:category>
          <w:name w:val="General"/>
          <w:gallery w:val="placeholder"/>
        </w:category>
        <w:types>
          <w:type w:val="bbPlcHdr"/>
        </w:types>
        <w:behaviors>
          <w:behavior w:val="content"/>
        </w:behaviors>
        <w:guid w:val="{BC006B6A-E963-4DD3-B27F-A1291DD3D2E8}"/>
      </w:docPartPr>
      <w:docPartBody>
        <w:p w:rsidR="00CD6F76" w:rsidRDefault="00CD6F76">
          <w:pPr>
            <w:pStyle w:val="3EEF6A754D2D413CB1E7CF9836A773F8"/>
          </w:pPr>
          <w:r>
            <w:t>[Select Date]</w:t>
          </w:r>
        </w:p>
      </w:docPartBody>
    </w:docPart>
    <w:docPart>
      <w:docPartPr>
        <w:name w:val="67668D139D3D4CC9BAC43704A551A546"/>
        <w:category>
          <w:name w:val="General"/>
          <w:gallery w:val="placeholder"/>
        </w:category>
        <w:types>
          <w:type w:val="bbPlcHdr"/>
        </w:types>
        <w:behaviors>
          <w:behavior w:val="content"/>
        </w:behaviors>
        <w:guid w:val="{60FF4A63-74FE-43AB-ADA4-FB360A815A9A}"/>
      </w:docPartPr>
      <w:docPartBody>
        <w:p w:rsidR="00CD6F76" w:rsidRDefault="00CD6F76">
          <w:pPr>
            <w:pStyle w:val="67668D139D3D4CC9BAC43704A551A54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76"/>
    <w:rsid w:val="00CD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0175F47A9420388FAB35899C317F8">
    <w:name w:val="E650175F47A9420388FAB35899C317F8"/>
  </w:style>
  <w:style w:type="paragraph" w:customStyle="1" w:styleId="3EEF6A754D2D413CB1E7CF9836A773F8">
    <w:name w:val="3EEF6A754D2D413CB1E7CF9836A773F8"/>
  </w:style>
  <w:style w:type="character" w:styleId="PlaceholderText">
    <w:name w:val="Placeholder Text"/>
    <w:basedOn w:val="DefaultParagraphFont"/>
    <w:uiPriority w:val="99"/>
    <w:semiHidden/>
    <w:rPr>
      <w:color w:val="808080"/>
    </w:rPr>
  </w:style>
  <w:style w:type="paragraph" w:customStyle="1" w:styleId="67668D139D3D4CC9BAC43704A551A546">
    <w:name w:val="67668D139D3D4CC9BAC43704A551A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31445468-3BF7-4C8F-AE1D-B1E8A55A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knied_000</dc:creator>
  <cp:keywords/>
  <cp:lastModifiedBy>Gretchen Phillips</cp:lastModifiedBy>
  <cp:revision>2</cp:revision>
  <dcterms:created xsi:type="dcterms:W3CDTF">2016-05-07T05:45:00Z</dcterms:created>
  <dcterms:modified xsi:type="dcterms:W3CDTF">2016-05-07T05:45:00Z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